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FFBD2" w14:textId="77777777" w:rsidR="00BC241F" w:rsidRPr="008C3D6C" w:rsidRDefault="00BC241F" w:rsidP="00BC241F">
      <w:pPr>
        <w:spacing w:after="200" w:line="276" w:lineRule="auto"/>
        <w:jc w:val="center"/>
      </w:pPr>
      <w:r w:rsidRPr="00836383">
        <w:rPr>
          <w:noProof/>
        </w:rPr>
        <w:drawing>
          <wp:anchor distT="0" distB="0" distL="114300" distR="114300" simplePos="0" relativeHeight="251659264" behindDoc="1" locked="0" layoutInCell="1" allowOverlap="1" wp14:anchorId="2875ED6F" wp14:editId="4F22717F">
            <wp:simplePos x="0" y="0"/>
            <wp:positionH relativeFrom="margin">
              <wp:align>center</wp:align>
            </wp:positionH>
            <wp:positionV relativeFrom="paragraph">
              <wp:posOffset>-443865</wp:posOffset>
            </wp:positionV>
            <wp:extent cx="1739968" cy="1645920"/>
            <wp:effectExtent l="0" t="0" r="0" b="0"/>
            <wp:wrapNone/>
            <wp:docPr id="4618192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819244"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39968" cy="1645920"/>
                    </a:xfrm>
                    <a:prstGeom prst="rect">
                      <a:avLst/>
                    </a:prstGeom>
                  </pic:spPr>
                </pic:pic>
              </a:graphicData>
            </a:graphic>
            <wp14:sizeRelH relativeFrom="margin">
              <wp14:pctWidth>0</wp14:pctWidth>
            </wp14:sizeRelH>
            <wp14:sizeRelV relativeFrom="margin">
              <wp14:pctHeight>0</wp14:pctHeight>
            </wp14:sizeRelV>
          </wp:anchor>
        </w:drawing>
      </w:r>
    </w:p>
    <w:p w14:paraId="26DC5BAA" w14:textId="77777777" w:rsidR="00BC241F" w:rsidRDefault="00BC241F" w:rsidP="00BC241F">
      <w:pPr>
        <w:tabs>
          <w:tab w:val="left" w:pos="3555"/>
        </w:tabs>
        <w:spacing w:after="0" w:line="240" w:lineRule="auto"/>
        <w:contextualSpacing/>
        <w:jc w:val="center"/>
        <w:rPr>
          <w:rFonts w:ascii="Bookman Old Style" w:hAnsi="Bookman Old Style" w:cs="Times New Roman"/>
          <w:b/>
          <w:sz w:val="28"/>
          <w:szCs w:val="28"/>
        </w:rPr>
      </w:pPr>
    </w:p>
    <w:p w14:paraId="6EB56152" w14:textId="77777777" w:rsidR="00BC241F" w:rsidRDefault="00BC241F" w:rsidP="00BC241F">
      <w:pPr>
        <w:tabs>
          <w:tab w:val="left" w:pos="3555"/>
        </w:tabs>
        <w:spacing w:after="0" w:line="240" w:lineRule="auto"/>
        <w:contextualSpacing/>
        <w:jc w:val="center"/>
        <w:rPr>
          <w:rFonts w:ascii="Bookman Old Style" w:hAnsi="Bookman Old Style" w:cs="Times New Roman"/>
          <w:b/>
          <w:sz w:val="28"/>
          <w:szCs w:val="28"/>
        </w:rPr>
      </w:pPr>
    </w:p>
    <w:p w14:paraId="3F637B74" w14:textId="77777777" w:rsidR="00BC241F" w:rsidRDefault="00BC241F" w:rsidP="00BC241F">
      <w:pPr>
        <w:tabs>
          <w:tab w:val="left" w:pos="3555"/>
        </w:tabs>
        <w:spacing w:after="0" w:line="240" w:lineRule="auto"/>
        <w:contextualSpacing/>
        <w:jc w:val="center"/>
        <w:rPr>
          <w:rFonts w:ascii="Bookman Old Style" w:hAnsi="Bookman Old Style" w:cs="Times New Roman"/>
          <w:b/>
          <w:sz w:val="28"/>
          <w:szCs w:val="28"/>
        </w:rPr>
      </w:pPr>
    </w:p>
    <w:p w14:paraId="6683E3EF" w14:textId="77777777" w:rsidR="00BC241F" w:rsidRDefault="00BC241F" w:rsidP="00BC241F">
      <w:pPr>
        <w:tabs>
          <w:tab w:val="left" w:pos="3555"/>
        </w:tabs>
        <w:spacing w:after="0" w:line="240" w:lineRule="auto"/>
        <w:contextualSpacing/>
        <w:jc w:val="center"/>
        <w:rPr>
          <w:rFonts w:ascii="Bookman Old Style" w:hAnsi="Bookman Old Style" w:cs="Times New Roman"/>
          <w:b/>
          <w:sz w:val="28"/>
          <w:szCs w:val="28"/>
        </w:rPr>
      </w:pPr>
    </w:p>
    <w:p w14:paraId="6CCC3D02" w14:textId="77777777" w:rsidR="00BC241F" w:rsidRPr="00E07446" w:rsidRDefault="00BC241F" w:rsidP="00BC241F">
      <w:pPr>
        <w:tabs>
          <w:tab w:val="left" w:pos="3555"/>
        </w:tabs>
        <w:spacing w:after="0" w:line="240" w:lineRule="auto"/>
        <w:contextualSpacing/>
        <w:jc w:val="center"/>
        <w:rPr>
          <w:rFonts w:ascii="Bookman Old Style" w:hAnsi="Bookman Old Style" w:cs="Times New Roman"/>
          <w:b/>
          <w:sz w:val="32"/>
          <w:szCs w:val="32"/>
        </w:rPr>
      </w:pPr>
      <w:r w:rsidRPr="00E07446">
        <w:rPr>
          <w:rFonts w:ascii="Bookman Old Style" w:hAnsi="Bookman Old Style" w:cs="Times New Roman"/>
          <w:b/>
          <w:sz w:val="32"/>
          <w:szCs w:val="32"/>
        </w:rPr>
        <w:t xml:space="preserve">COUNTY GOVERNMENT OF ELGEYO MARAKWET </w:t>
      </w:r>
    </w:p>
    <w:p w14:paraId="21307785" w14:textId="77777777" w:rsidR="00BC241F" w:rsidRPr="00836383" w:rsidRDefault="00BC241F" w:rsidP="00BC241F">
      <w:pPr>
        <w:tabs>
          <w:tab w:val="left" w:pos="3555"/>
        </w:tabs>
        <w:spacing w:after="0" w:line="240" w:lineRule="auto"/>
        <w:contextualSpacing/>
        <w:jc w:val="center"/>
        <w:rPr>
          <w:rFonts w:ascii="Bookman Old Style" w:hAnsi="Bookman Old Style" w:cs="Times New Roman"/>
          <w:b/>
          <w:sz w:val="24"/>
          <w:szCs w:val="24"/>
        </w:rPr>
      </w:pPr>
    </w:p>
    <w:p w14:paraId="5B65EDE0" w14:textId="77777777" w:rsidR="00BC241F" w:rsidRDefault="00BC241F" w:rsidP="00BC241F">
      <w:pPr>
        <w:tabs>
          <w:tab w:val="left" w:pos="3555"/>
        </w:tabs>
        <w:spacing w:after="0" w:line="240" w:lineRule="auto"/>
        <w:contextualSpacing/>
        <w:rPr>
          <w:rFonts w:ascii="Bookman Old Style" w:hAnsi="Bookman Old Style" w:cs="Times New Roman"/>
          <w:b/>
          <w:sz w:val="18"/>
          <w:szCs w:val="18"/>
        </w:rPr>
      </w:pPr>
      <w:r w:rsidRPr="00D32A20">
        <w:rPr>
          <w:rFonts w:ascii="Bookman Old Style" w:hAnsi="Bookman Old Style" w:cs="Times New Roman"/>
          <w:b/>
          <w:sz w:val="18"/>
          <w:szCs w:val="18"/>
        </w:rPr>
        <w:t>All Correspondence to be</w:t>
      </w:r>
      <w:r w:rsidRPr="00D32A20">
        <w:rPr>
          <w:rFonts w:ascii="Bookman Old Style" w:hAnsi="Bookman Old Style" w:cs="Times New Roman"/>
          <w:b/>
          <w:sz w:val="18"/>
          <w:szCs w:val="18"/>
        </w:rPr>
        <w:tab/>
      </w:r>
      <w:r w:rsidRPr="00D32A20">
        <w:rPr>
          <w:rFonts w:ascii="Bookman Old Style" w:hAnsi="Bookman Old Style" w:cs="Times New Roman"/>
          <w:b/>
          <w:sz w:val="18"/>
          <w:szCs w:val="18"/>
        </w:rPr>
        <w:tab/>
      </w:r>
      <w:r w:rsidRPr="00D32A20">
        <w:rPr>
          <w:rFonts w:ascii="Bookman Old Style" w:hAnsi="Bookman Old Style" w:cs="Times New Roman"/>
          <w:b/>
          <w:sz w:val="18"/>
          <w:szCs w:val="18"/>
        </w:rPr>
        <w:tab/>
      </w:r>
      <w:r w:rsidRPr="00D32A20">
        <w:rPr>
          <w:rFonts w:ascii="Bookman Old Style" w:hAnsi="Bookman Old Style" w:cs="Times New Roman"/>
          <w:b/>
          <w:sz w:val="18"/>
          <w:szCs w:val="18"/>
        </w:rPr>
        <w:tab/>
      </w:r>
      <w:r w:rsidRPr="00D32A20">
        <w:rPr>
          <w:rFonts w:ascii="Bookman Old Style" w:hAnsi="Bookman Old Style" w:cs="Times New Roman"/>
          <w:b/>
          <w:sz w:val="18"/>
          <w:szCs w:val="18"/>
        </w:rPr>
        <w:tab/>
      </w:r>
      <w:r>
        <w:rPr>
          <w:rFonts w:ascii="Bookman Old Style" w:hAnsi="Bookman Old Style" w:cs="Times New Roman"/>
          <w:b/>
          <w:sz w:val="18"/>
          <w:szCs w:val="18"/>
        </w:rPr>
        <w:tab/>
      </w:r>
      <w:r>
        <w:rPr>
          <w:rFonts w:ascii="Bookman Old Style" w:hAnsi="Bookman Old Style" w:cs="Times New Roman"/>
          <w:b/>
          <w:sz w:val="18"/>
          <w:szCs w:val="18"/>
        </w:rPr>
        <w:tab/>
        <w:t>Treasury Building</w:t>
      </w:r>
    </w:p>
    <w:p w14:paraId="70638BEE" w14:textId="77777777" w:rsidR="00BC241F" w:rsidRPr="00D32A20" w:rsidRDefault="00BC241F" w:rsidP="00BC241F">
      <w:pPr>
        <w:tabs>
          <w:tab w:val="left" w:pos="3555"/>
        </w:tabs>
        <w:spacing w:after="0" w:line="240" w:lineRule="auto"/>
        <w:contextualSpacing/>
        <w:rPr>
          <w:rFonts w:ascii="Bookman Old Style" w:hAnsi="Bookman Old Style" w:cs="Times New Roman"/>
          <w:b/>
          <w:sz w:val="18"/>
          <w:szCs w:val="18"/>
        </w:rPr>
      </w:pPr>
      <w:r w:rsidRPr="00D32A20">
        <w:rPr>
          <w:rFonts w:ascii="Bookman Old Style" w:hAnsi="Bookman Old Style" w:cs="Times New Roman"/>
          <w:b/>
          <w:sz w:val="18"/>
          <w:szCs w:val="18"/>
        </w:rPr>
        <w:t xml:space="preserve">Addressed to: </w:t>
      </w:r>
      <w:r>
        <w:rPr>
          <w:rFonts w:ascii="Bookman Old Style" w:hAnsi="Bookman Old Style" w:cs="Times New Roman"/>
          <w:b/>
          <w:sz w:val="18"/>
          <w:szCs w:val="18"/>
        </w:rPr>
        <w:t>County Secretary</w:t>
      </w:r>
      <w:r w:rsidRPr="00D32A20">
        <w:rPr>
          <w:rFonts w:ascii="Bookman Old Style" w:hAnsi="Bookman Old Style" w:cs="Times New Roman"/>
          <w:b/>
          <w:sz w:val="18"/>
          <w:szCs w:val="18"/>
        </w:rPr>
        <w:tab/>
      </w:r>
      <w:r>
        <w:rPr>
          <w:rFonts w:ascii="Bookman Old Style" w:hAnsi="Bookman Old Style" w:cs="Times New Roman"/>
          <w:b/>
          <w:sz w:val="18"/>
          <w:szCs w:val="18"/>
        </w:rPr>
        <w:tab/>
      </w:r>
      <w:r>
        <w:rPr>
          <w:rFonts w:ascii="Bookman Old Style" w:hAnsi="Bookman Old Style" w:cs="Times New Roman"/>
          <w:b/>
          <w:sz w:val="18"/>
          <w:szCs w:val="18"/>
        </w:rPr>
        <w:tab/>
      </w:r>
      <w:r>
        <w:rPr>
          <w:rFonts w:ascii="Bookman Old Style" w:hAnsi="Bookman Old Style" w:cs="Times New Roman"/>
          <w:b/>
          <w:sz w:val="18"/>
          <w:szCs w:val="18"/>
        </w:rPr>
        <w:tab/>
      </w:r>
      <w:r>
        <w:rPr>
          <w:rFonts w:ascii="Bookman Old Style" w:hAnsi="Bookman Old Style" w:cs="Times New Roman"/>
          <w:b/>
          <w:sz w:val="18"/>
          <w:szCs w:val="18"/>
        </w:rPr>
        <w:tab/>
      </w:r>
      <w:r>
        <w:rPr>
          <w:rFonts w:ascii="Bookman Old Style" w:hAnsi="Bookman Old Style" w:cs="Times New Roman"/>
          <w:b/>
          <w:sz w:val="18"/>
          <w:szCs w:val="18"/>
        </w:rPr>
        <w:tab/>
      </w:r>
      <w:r>
        <w:rPr>
          <w:rFonts w:ascii="Bookman Old Style" w:hAnsi="Bookman Old Style" w:cs="Times New Roman"/>
          <w:b/>
          <w:sz w:val="18"/>
          <w:szCs w:val="18"/>
        </w:rPr>
        <w:tab/>
      </w:r>
      <w:r w:rsidRPr="00D32A20">
        <w:rPr>
          <w:rFonts w:ascii="Bookman Old Style" w:hAnsi="Bookman Old Style" w:cs="Times New Roman"/>
          <w:b/>
          <w:sz w:val="18"/>
          <w:szCs w:val="18"/>
        </w:rPr>
        <w:t>P O BOX 220 – 30700</w:t>
      </w:r>
      <w:r>
        <w:rPr>
          <w:rFonts w:ascii="Bookman Old Style" w:hAnsi="Bookman Old Style" w:cs="Times New Roman"/>
          <w:b/>
          <w:sz w:val="18"/>
          <w:szCs w:val="18"/>
        </w:rPr>
        <w:t>,</w:t>
      </w:r>
    </w:p>
    <w:p w14:paraId="35FC1655" w14:textId="77777777" w:rsidR="00BC241F" w:rsidRPr="00836383" w:rsidRDefault="00BC241F" w:rsidP="00BC241F">
      <w:pPr>
        <w:pBdr>
          <w:bottom w:val="single" w:sz="4" w:space="1" w:color="auto"/>
        </w:pBdr>
        <w:tabs>
          <w:tab w:val="left" w:pos="3555"/>
        </w:tabs>
        <w:spacing w:after="0" w:line="240" w:lineRule="auto"/>
        <w:contextualSpacing/>
        <w:rPr>
          <w:rFonts w:ascii="Bookman Old Style" w:hAnsi="Bookman Old Style" w:cs="Times New Roman"/>
          <w:b/>
          <w:color w:val="0563C1" w:themeColor="hyperlink"/>
          <w:sz w:val="18"/>
          <w:szCs w:val="18"/>
          <w:u w:val="single"/>
        </w:rPr>
      </w:pPr>
      <w:r w:rsidRPr="00D32A20">
        <w:rPr>
          <w:rFonts w:ascii="Bookman Old Style" w:hAnsi="Bookman Old Style" w:cs="Times New Roman"/>
          <w:b/>
          <w:sz w:val="18"/>
          <w:szCs w:val="18"/>
        </w:rPr>
        <w:t xml:space="preserve">Email: </w:t>
      </w:r>
      <w:hyperlink r:id="rId6" w:history="1">
        <w:r w:rsidRPr="007A7771">
          <w:rPr>
            <w:rStyle w:val="Hyperlink"/>
            <w:rFonts w:ascii="Bookman Old Style" w:hAnsi="Bookman Old Style" w:cs="Times New Roman"/>
            <w:bCs/>
            <w:sz w:val="18"/>
            <w:szCs w:val="18"/>
          </w:rPr>
          <w:t>countysecretary@elgeyomarakwet.go.ke</w:t>
        </w:r>
      </w:hyperlink>
      <w:r w:rsidRPr="0070200A">
        <w:rPr>
          <w:rStyle w:val="Hyperlink"/>
          <w:rFonts w:ascii="Bookman Old Style" w:hAnsi="Bookman Old Style" w:cs="Times New Roman"/>
          <w:b/>
          <w:sz w:val="18"/>
          <w:szCs w:val="18"/>
        </w:rPr>
        <w:t xml:space="preserve">        </w:t>
      </w:r>
      <w:r>
        <w:rPr>
          <w:rStyle w:val="Hyperlink"/>
          <w:rFonts w:ascii="Bookman Old Style" w:hAnsi="Bookman Old Style" w:cs="Times New Roman"/>
          <w:b/>
          <w:sz w:val="18"/>
          <w:szCs w:val="18"/>
        </w:rPr>
        <w:tab/>
      </w:r>
      <w:r>
        <w:rPr>
          <w:rStyle w:val="Hyperlink"/>
          <w:rFonts w:ascii="Bookman Old Style" w:hAnsi="Bookman Old Style" w:cs="Times New Roman"/>
          <w:b/>
          <w:sz w:val="18"/>
          <w:szCs w:val="18"/>
        </w:rPr>
        <w:tab/>
      </w:r>
      <w:r>
        <w:rPr>
          <w:rStyle w:val="Hyperlink"/>
          <w:rFonts w:ascii="Bookman Old Style" w:hAnsi="Bookman Old Style" w:cs="Times New Roman"/>
          <w:b/>
          <w:sz w:val="18"/>
          <w:szCs w:val="18"/>
        </w:rPr>
        <w:tab/>
      </w:r>
      <w:r>
        <w:rPr>
          <w:rStyle w:val="Hyperlink"/>
          <w:rFonts w:ascii="Bookman Old Style" w:hAnsi="Bookman Old Style" w:cs="Times New Roman"/>
          <w:b/>
          <w:sz w:val="18"/>
          <w:szCs w:val="18"/>
        </w:rPr>
        <w:tab/>
      </w:r>
      <w:r w:rsidRPr="00D32A20">
        <w:rPr>
          <w:rFonts w:ascii="Bookman Old Style" w:hAnsi="Bookman Old Style" w:cs="Times New Roman"/>
          <w:b/>
          <w:sz w:val="18"/>
          <w:szCs w:val="18"/>
        </w:rPr>
        <w:t>ITEN</w:t>
      </w:r>
      <w:r>
        <w:rPr>
          <w:rFonts w:ascii="Bookman Old Style" w:hAnsi="Bookman Old Style" w:cs="Times New Roman"/>
          <w:b/>
          <w:sz w:val="18"/>
          <w:szCs w:val="18"/>
        </w:rPr>
        <w:t>.</w:t>
      </w:r>
    </w:p>
    <w:p w14:paraId="22F191DF" w14:textId="77777777" w:rsidR="00BC241F" w:rsidRDefault="00BC241F" w:rsidP="00BC241F"/>
    <w:p w14:paraId="2B813737" w14:textId="02D002CA" w:rsidR="00BC241F" w:rsidRDefault="00BC241F" w:rsidP="00BC241F">
      <w:pPr>
        <w:spacing w:before="100" w:beforeAutospacing="1" w:after="100" w:afterAutospacing="1" w:line="240" w:lineRule="auto"/>
        <w:jc w:val="cente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DEPARTMENT OF HEALTH SERVICES</w:t>
      </w:r>
    </w:p>
    <w:p w14:paraId="3DE2E648" w14:textId="32E8E40B" w:rsidR="00544787" w:rsidRPr="00544787" w:rsidRDefault="005F1743" w:rsidP="00544787">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Department of Health Services</w:t>
      </w:r>
      <w:r w:rsidR="00544787" w:rsidRPr="00544787">
        <w:rPr>
          <w:rFonts w:ascii="Times New Roman" w:eastAsia="Times New Roman" w:hAnsi="Times New Roman" w:cs="Times New Roman"/>
          <w:b/>
          <w:bCs/>
          <w:kern w:val="0"/>
          <w:sz w:val="24"/>
          <w:szCs w:val="24"/>
          <w14:ligatures w14:val="none"/>
        </w:rPr>
        <w:t xml:space="preserve"> Unveils Ward-Centric Health Data to Empower Public Participation</w:t>
      </w:r>
    </w:p>
    <w:p w14:paraId="44A925EF" w14:textId="77777777" w:rsidR="00544787" w:rsidRPr="00544787" w:rsidRDefault="00544787" w:rsidP="00544787">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544787">
        <w:rPr>
          <w:rFonts w:ascii="Times New Roman" w:eastAsia="Times New Roman" w:hAnsi="Times New Roman" w:cs="Times New Roman"/>
          <w:kern w:val="0"/>
          <w:sz w:val="24"/>
          <w:szCs w:val="24"/>
          <w14:ligatures w14:val="none"/>
        </w:rPr>
        <w:t>In a groundbreaking move to enhance transparency and public engagement in healthcare planning, the County Government of Elgeyo Marakwet, through the Department of Health Services, has released comprehensive ward-level health data. This strategic initiative marks a significant policy shift by the County Executive Committee Member (CECM) for Health Services, reinforcing the commitment to data-driven decision-making and community involvement as we prepare to launch the County Strategic Plan 2023-2027.</w:t>
      </w:r>
    </w:p>
    <w:p w14:paraId="28210A22" w14:textId="77777777" w:rsidR="00544787" w:rsidRPr="00544787" w:rsidRDefault="00544787" w:rsidP="005447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44787">
        <w:rPr>
          <w:rFonts w:ascii="Times New Roman" w:eastAsia="Times New Roman" w:hAnsi="Times New Roman" w:cs="Times New Roman"/>
          <w:b/>
          <w:bCs/>
          <w:kern w:val="0"/>
          <w:sz w:val="24"/>
          <w:szCs w:val="24"/>
          <w14:ligatures w14:val="none"/>
        </w:rPr>
        <w:t>A New Era of Transparency and Public Involvement</w:t>
      </w:r>
    </w:p>
    <w:p w14:paraId="168E78B2" w14:textId="77777777" w:rsidR="00544787" w:rsidRPr="00544787" w:rsidRDefault="00544787" w:rsidP="00544787">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544787">
        <w:rPr>
          <w:rFonts w:ascii="Times New Roman" w:eastAsia="Times New Roman" w:hAnsi="Times New Roman" w:cs="Times New Roman"/>
          <w:kern w:val="0"/>
          <w:sz w:val="24"/>
          <w:szCs w:val="24"/>
          <w14:ligatures w14:val="none"/>
        </w:rPr>
        <w:t>The decision to share detailed health data publicly is rooted in the belief that an informed public can actively contribute to shaping the future of healthcare in the county. The released data includes key performance indicators (KPIs) per ward, detailed disease burden information, and tailored strategies to address specific health challenges across different wards.</w:t>
      </w:r>
    </w:p>
    <w:p w14:paraId="72B8FCEF" w14:textId="77777777" w:rsidR="00544787" w:rsidRPr="00544787" w:rsidRDefault="00544787" w:rsidP="00544787">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544787">
        <w:rPr>
          <w:rFonts w:ascii="Times New Roman" w:eastAsia="Times New Roman" w:hAnsi="Times New Roman" w:cs="Times New Roman"/>
          <w:kern w:val="0"/>
          <w:sz w:val="24"/>
          <w:szCs w:val="24"/>
          <w14:ligatures w14:val="none"/>
        </w:rPr>
        <w:t>As the county gears up for the upcoming ward public participation forums, residents will have the opportunity to engage meaningfully with the data, providing valuable input that will inform policy and resource allocation decisions.</w:t>
      </w:r>
    </w:p>
    <w:p w14:paraId="3DCC4679" w14:textId="77777777" w:rsidR="00544787" w:rsidRPr="00544787" w:rsidRDefault="00544787" w:rsidP="005447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44787">
        <w:rPr>
          <w:rFonts w:ascii="Times New Roman" w:eastAsia="Times New Roman" w:hAnsi="Times New Roman" w:cs="Times New Roman"/>
          <w:b/>
          <w:bCs/>
          <w:kern w:val="0"/>
          <w:sz w:val="24"/>
          <w:szCs w:val="24"/>
          <w14:ligatures w14:val="none"/>
        </w:rPr>
        <w:t>Key Health Performance Indicators Per Ward</w:t>
      </w:r>
    </w:p>
    <w:p w14:paraId="60B86E4A" w14:textId="77777777" w:rsidR="00544787" w:rsidRPr="00544787" w:rsidRDefault="00544787" w:rsidP="00544787">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544787">
        <w:rPr>
          <w:rFonts w:ascii="Times New Roman" w:eastAsia="Times New Roman" w:hAnsi="Times New Roman" w:cs="Times New Roman"/>
          <w:kern w:val="0"/>
          <w:sz w:val="24"/>
          <w:szCs w:val="24"/>
          <w14:ligatures w14:val="none"/>
        </w:rPr>
        <w:t>The data provides a granular look into various health indicators, shedding light on areas of progress and those requiring urgent intervention. Some of the critical indicators covered include:</w:t>
      </w:r>
    </w:p>
    <w:p w14:paraId="1E6C0106" w14:textId="77777777" w:rsidR="00544787" w:rsidRPr="00544787" w:rsidRDefault="00544787" w:rsidP="00544787">
      <w:pPr>
        <w:numPr>
          <w:ilvl w:val="0"/>
          <w:numId w:val="4"/>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544787">
        <w:rPr>
          <w:rFonts w:ascii="Times New Roman" w:eastAsia="Times New Roman" w:hAnsi="Times New Roman" w:cs="Times New Roman"/>
          <w:b/>
          <w:bCs/>
          <w:kern w:val="0"/>
          <w:sz w:val="24"/>
          <w:szCs w:val="24"/>
          <w14:ligatures w14:val="none"/>
        </w:rPr>
        <w:t>Skilled Birth Attendance:</w:t>
      </w:r>
      <w:r w:rsidRPr="00544787">
        <w:rPr>
          <w:rFonts w:ascii="Times New Roman" w:eastAsia="Times New Roman" w:hAnsi="Times New Roman" w:cs="Times New Roman"/>
          <w:kern w:val="0"/>
          <w:sz w:val="24"/>
          <w:szCs w:val="24"/>
          <w14:ligatures w14:val="none"/>
        </w:rPr>
        <w:t xml:space="preserve"> A measure of maternal health service uptake, with wards like Tambach performing above county averages, while others show a need for targeted interventions to enhance service delivery.</w:t>
      </w:r>
    </w:p>
    <w:p w14:paraId="30700B7D" w14:textId="77777777" w:rsidR="00544787" w:rsidRPr="00544787" w:rsidRDefault="00544787" w:rsidP="00544787">
      <w:pPr>
        <w:numPr>
          <w:ilvl w:val="0"/>
          <w:numId w:val="4"/>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544787">
        <w:rPr>
          <w:rFonts w:ascii="Times New Roman" w:eastAsia="Times New Roman" w:hAnsi="Times New Roman" w:cs="Times New Roman"/>
          <w:b/>
          <w:bCs/>
          <w:kern w:val="0"/>
          <w:sz w:val="24"/>
          <w:szCs w:val="24"/>
          <w14:ligatures w14:val="none"/>
        </w:rPr>
        <w:t>Immunization Coverage:</w:t>
      </w:r>
      <w:r w:rsidRPr="00544787">
        <w:rPr>
          <w:rFonts w:ascii="Times New Roman" w:eastAsia="Times New Roman" w:hAnsi="Times New Roman" w:cs="Times New Roman"/>
          <w:kern w:val="0"/>
          <w:sz w:val="24"/>
          <w:szCs w:val="24"/>
          <w14:ligatures w14:val="none"/>
        </w:rPr>
        <w:t xml:space="preserve"> A crucial indicator for child health, highlighting disparities across wards and the need for outreach programs to boost coverage, ensuring every child receives life-saving vaccines.</w:t>
      </w:r>
    </w:p>
    <w:p w14:paraId="557578C0" w14:textId="574373E7" w:rsidR="00544787" w:rsidRPr="00544787" w:rsidRDefault="00544787" w:rsidP="00544787">
      <w:pPr>
        <w:numPr>
          <w:ilvl w:val="0"/>
          <w:numId w:val="4"/>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544787">
        <w:rPr>
          <w:rFonts w:ascii="Times New Roman" w:eastAsia="Times New Roman" w:hAnsi="Times New Roman" w:cs="Times New Roman"/>
          <w:b/>
          <w:bCs/>
          <w:kern w:val="0"/>
          <w:sz w:val="24"/>
          <w:szCs w:val="24"/>
          <w14:ligatures w14:val="none"/>
        </w:rPr>
        <w:lastRenderedPageBreak/>
        <w:t>Malaria Incidence:</w:t>
      </w:r>
      <w:r w:rsidRPr="00544787">
        <w:rPr>
          <w:rFonts w:ascii="Times New Roman" w:eastAsia="Times New Roman" w:hAnsi="Times New Roman" w:cs="Times New Roman"/>
          <w:kern w:val="0"/>
          <w:sz w:val="24"/>
          <w:szCs w:val="24"/>
          <w14:ligatures w14:val="none"/>
        </w:rPr>
        <w:t xml:space="preserve"> Wards with high malaria burden, such as </w:t>
      </w:r>
      <w:proofErr w:type="spellStart"/>
      <w:r>
        <w:rPr>
          <w:rFonts w:ascii="Times New Roman" w:eastAsia="Times New Roman" w:hAnsi="Times New Roman" w:cs="Times New Roman"/>
          <w:kern w:val="0"/>
          <w:sz w:val="24"/>
          <w:szCs w:val="24"/>
          <w14:ligatures w14:val="none"/>
        </w:rPr>
        <w:t>Arror</w:t>
      </w:r>
      <w:proofErr w:type="spellEnd"/>
      <w:r w:rsidRPr="00544787">
        <w:rPr>
          <w:rFonts w:ascii="Times New Roman" w:eastAsia="Times New Roman" w:hAnsi="Times New Roman" w:cs="Times New Roman"/>
          <w:kern w:val="0"/>
          <w:sz w:val="24"/>
          <w:szCs w:val="24"/>
          <w14:ligatures w14:val="none"/>
        </w:rPr>
        <w:t>, require focused control efforts, including vector management, distribution of insecticide-treated nets, and improved access to treatment.</w:t>
      </w:r>
    </w:p>
    <w:p w14:paraId="16A63C63" w14:textId="77777777" w:rsidR="00544787" w:rsidRPr="00544787" w:rsidRDefault="00544787" w:rsidP="00544787">
      <w:pPr>
        <w:numPr>
          <w:ilvl w:val="0"/>
          <w:numId w:val="4"/>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544787">
        <w:rPr>
          <w:rFonts w:ascii="Times New Roman" w:eastAsia="Times New Roman" w:hAnsi="Times New Roman" w:cs="Times New Roman"/>
          <w:b/>
          <w:bCs/>
          <w:kern w:val="0"/>
          <w:sz w:val="24"/>
          <w:szCs w:val="24"/>
          <w14:ligatures w14:val="none"/>
        </w:rPr>
        <w:t>Teenage Pregnancy Rates:</w:t>
      </w:r>
      <w:r w:rsidRPr="00544787">
        <w:rPr>
          <w:rFonts w:ascii="Times New Roman" w:eastAsia="Times New Roman" w:hAnsi="Times New Roman" w:cs="Times New Roman"/>
          <w:kern w:val="0"/>
          <w:sz w:val="24"/>
          <w:szCs w:val="24"/>
          <w14:ligatures w14:val="none"/>
        </w:rPr>
        <w:t xml:space="preserve"> An area of concern in several wards, necessitating comprehensive reproductive health interventions, community awareness campaigns, and adolescent-friendly services.</w:t>
      </w:r>
    </w:p>
    <w:p w14:paraId="02676541" w14:textId="532797C9" w:rsidR="00544787" w:rsidRPr="00544787" w:rsidRDefault="00544787" w:rsidP="00544787">
      <w:pPr>
        <w:numPr>
          <w:ilvl w:val="0"/>
          <w:numId w:val="4"/>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544787">
        <w:rPr>
          <w:rFonts w:ascii="Times New Roman" w:eastAsia="Times New Roman" w:hAnsi="Times New Roman" w:cs="Times New Roman"/>
          <w:b/>
          <w:bCs/>
          <w:kern w:val="0"/>
          <w:sz w:val="24"/>
          <w:szCs w:val="24"/>
          <w14:ligatures w14:val="none"/>
        </w:rPr>
        <w:t>Health Insurance Coverage:</w:t>
      </w:r>
      <w:r w:rsidRPr="00544787">
        <w:rPr>
          <w:rFonts w:ascii="Times New Roman" w:eastAsia="Times New Roman" w:hAnsi="Times New Roman" w:cs="Times New Roman"/>
          <w:kern w:val="0"/>
          <w:sz w:val="24"/>
          <w:szCs w:val="24"/>
          <w14:ligatures w14:val="none"/>
        </w:rPr>
        <w:t xml:space="preserve"> Low coverage rates in some wards underscore the need for intensified </w:t>
      </w:r>
      <w:r w:rsidR="00F94E10">
        <w:rPr>
          <w:rFonts w:ascii="Times New Roman" w:eastAsia="Times New Roman" w:hAnsi="Times New Roman" w:cs="Times New Roman"/>
          <w:kern w:val="0"/>
          <w:sz w:val="24"/>
          <w:szCs w:val="24"/>
          <w14:ligatures w14:val="none"/>
        </w:rPr>
        <w:t>SHA/S</w:t>
      </w:r>
      <w:r w:rsidRPr="00544787">
        <w:rPr>
          <w:rFonts w:ascii="Times New Roman" w:eastAsia="Times New Roman" w:hAnsi="Times New Roman" w:cs="Times New Roman"/>
          <w:kern w:val="0"/>
          <w:sz w:val="24"/>
          <w:szCs w:val="24"/>
          <w14:ligatures w14:val="none"/>
        </w:rPr>
        <w:t>HIF enrolment drives and sensitization efforts to promote access to affordable healthcare.</w:t>
      </w:r>
    </w:p>
    <w:p w14:paraId="53A4266F" w14:textId="77777777" w:rsidR="00544787" w:rsidRPr="00544787" w:rsidRDefault="00544787" w:rsidP="005447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44787">
        <w:rPr>
          <w:rFonts w:ascii="Times New Roman" w:eastAsia="Times New Roman" w:hAnsi="Times New Roman" w:cs="Times New Roman"/>
          <w:b/>
          <w:bCs/>
          <w:kern w:val="0"/>
          <w:sz w:val="24"/>
          <w:szCs w:val="24"/>
          <w14:ligatures w14:val="none"/>
        </w:rPr>
        <w:t>Detailed Disease Burden Information</w:t>
      </w:r>
    </w:p>
    <w:p w14:paraId="5B635687" w14:textId="77777777" w:rsidR="00544787" w:rsidRPr="00544787" w:rsidRDefault="00544787" w:rsidP="00544787">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544787">
        <w:rPr>
          <w:rFonts w:ascii="Times New Roman" w:eastAsia="Times New Roman" w:hAnsi="Times New Roman" w:cs="Times New Roman"/>
          <w:kern w:val="0"/>
          <w:sz w:val="24"/>
          <w:szCs w:val="24"/>
          <w14:ligatures w14:val="none"/>
        </w:rPr>
        <w:t>The ward-level data highlights the prevalence of various health conditions, enabling targeted responses. Key disease burden insights include:</w:t>
      </w:r>
    </w:p>
    <w:p w14:paraId="0CFB6099" w14:textId="77777777" w:rsidR="00544787" w:rsidRPr="00544787" w:rsidRDefault="00544787" w:rsidP="00544787">
      <w:pPr>
        <w:numPr>
          <w:ilvl w:val="0"/>
          <w:numId w:val="5"/>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544787">
        <w:rPr>
          <w:rFonts w:ascii="Times New Roman" w:eastAsia="Times New Roman" w:hAnsi="Times New Roman" w:cs="Times New Roman"/>
          <w:b/>
          <w:bCs/>
          <w:kern w:val="0"/>
          <w:sz w:val="24"/>
          <w:szCs w:val="24"/>
          <w14:ligatures w14:val="none"/>
        </w:rPr>
        <w:t>Communicable Diseases:</w:t>
      </w:r>
      <w:r w:rsidRPr="00544787">
        <w:rPr>
          <w:rFonts w:ascii="Times New Roman" w:eastAsia="Times New Roman" w:hAnsi="Times New Roman" w:cs="Times New Roman"/>
          <w:kern w:val="0"/>
          <w:sz w:val="24"/>
          <w:szCs w:val="24"/>
          <w14:ligatures w14:val="none"/>
        </w:rPr>
        <w:t xml:space="preserve"> High incidences of diarrheal diseases, malaria, and respiratory infections in specific wards, necessitating robust preventive and curative interventions.</w:t>
      </w:r>
    </w:p>
    <w:p w14:paraId="22B5821C" w14:textId="77777777" w:rsidR="00544787" w:rsidRPr="00544787" w:rsidRDefault="00544787" w:rsidP="00544787">
      <w:pPr>
        <w:numPr>
          <w:ilvl w:val="0"/>
          <w:numId w:val="5"/>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544787">
        <w:rPr>
          <w:rFonts w:ascii="Times New Roman" w:eastAsia="Times New Roman" w:hAnsi="Times New Roman" w:cs="Times New Roman"/>
          <w:b/>
          <w:bCs/>
          <w:kern w:val="0"/>
          <w:sz w:val="24"/>
          <w:szCs w:val="24"/>
          <w14:ligatures w14:val="none"/>
        </w:rPr>
        <w:t>Non-Communicable Diseases (NCDs):</w:t>
      </w:r>
      <w:r w:rsidRPr="00544787">
        <w:rPr>
          <w:rFonts w:ascii="Times New Roman" w:eastAsia="Times New Roman" w:hAnsi="Times New Roman" w:cs="Times New Roman"/>
          <w:kern w:val="0"/>
          <w:sz w:val="24"/>
          <w:szCs w:val="24"/>
          <w14:ligatures w14:val="none"/>
        </w:rPr>
        <w:t xml:space="preserve"> Rising cases of hypertension and diabetes emphasize the need for lifestyle interventions, regular screening, and patient education on risk factors.</w:t>
      </w:r>
    </w:p>
    <w:p w14:paraId="284D2C50" w14:textId="77777777" w:rsidR="00544787" w:rsidRPr="00544787" w:rsidRDefault="00544787" w:rsidP="00544787">
      <w:pPr>
        <w:numPr>
          <w:ilvl w:val="0"/>
          <w:numId w:val="5"/>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544787">
        <w:rPr>
          <w:rFonts w:ascii="Times New Roman" w:eastAsia="Times New Roman" w:hAnsi="Times New Roman" w:cs="Times New Roman"/>
          <w:b/>
          <w:bCs/>
          <w:kern w:val="0"/>
          <w:sz w:val="24"/>
          <w:szCs w:val="24"/>
          <w14:ligatures w14:val="none"/>
        </w:rPr>
        <w:t>Eye and Dental Health:</w:t>
      </w:r>
      <w:r w:rsidRPr="00544787">
        <w:rPr>
          <w:rFonts w:ascii="Times New Roman" w:eastAsia="Times New Roman" w:hAnsi="Times New Roman" w:cs="Times New Roman"/>
          <w:kern w:val="0"/>
          <w:sz w:val="24"/>
          <w:szCs w:val="24"/>
          <w14:ligatures w14:val="none"/>
        </w:rPr>
        <w:t xml:space="preserve"> High morbidity rates in some wards call for specialized clinics, increased access to diagnostic services, and mobile outreach programs.</w:t>
      </w:r>
    </w:p>
    <w:p w14:paraId="33A9BF1F" w14:textId="77777777" w:rsidR="00544787" w:rsidRPr="00544787" w:rsidRDefault="00544787" w:rsidP="00544787">
      <w:pPr>
        <w:numPr>
          <w:ilvl w:val="0"/>
          <w:numId w:val="5"/>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544787">
        <w:rPr>
          <w:rFonts w:ascii="Times New Roman" w:eastAsia="Times New Roman" w:hAnsi="Times New Roman" w:cs="Times New Roman"/>
          <w:b/>
          <w:bCs/>
          <w:kern w:val="0"/>
          <w:sz w:val="24"/>
          <w:szCs w:val="24"/>
          <w14:ligatures w14:val="none"/>
        </w:rPr>
        <w:t>Nutrition Status:</w:t>
      </w:r>
      <w:r w:rsidRPr="00544787">
        <w:rPr>
          <w:rFonts w:ascii="Times New Roman" w:eastAsia="Times New Roman" w:hAnsi="Times New Roman" w:cs="Times New Roman"/>
          <w:kern w:val="0"/>
          <w:sz w:val="24"/>
          <w:szCs w:val="24"/>
          <w14:ligatures w14:val="none"/>
        </w:rPr>
        <w:t xml:space="preserve"> The data highlights malnutrition trends, informing targeted nutrition programs aimed at addressing stunting, wasting, and micronutrient deficiencies.</w:t>
      </w:r>
    </w:p>
    <w:p w14:paraId="1215DBBC" w14:textId="520BE57D" w:rsidR="00544787" w:rsidRPr="00544787" w:rsidRDefault="00544787" w:rsidP="005447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44787">
        <w:rPr>
          <w:rFonts w:ascii="Times New Roman" w:eastAsia="Times New Roman" w:hAnsi="Times New Roman" w:cs="Times New Roman"/>
          <w:b/>
          <w:bCs/>
          <w:kern w:val="0"/>
          <w:sz w:val="24"/>
          <w:szCs w:val="24"/>
          <w14:ligatures w14:val="none"/>
        </w:rPr>
        <w:t xml:space="preserve">Health Improvement </w:t>
      </w:r>
      <w:r w:rsidR="00F94E10">
        <w:rPr>
          <w:rFonts w:ascii="Times New Roman" w:eastAsia="Times New Roman" w:hAnsi="Times New Roman" w:cs="Times New Roman"/>
          <w:b/>
          <w:bCs/>
          <w:kern w:val="0"/>
          <w:sz w:val="24"/>
          <w:szCs w:val="24"/>
          <w14:ligatures w14:val="none"/>
        </w:rPr>
        <w:t>Strategies</w:t>
      </w:r>
    </w:p>
    <w:p w14:paraId="6B9B7C1C" w14:textId="5F12F337" w:rsidR="00544787" w:rsidRPr="00544787" w:rsidRDefault="00544787" w:rsidP="00544787">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544787">
        <w:rPr>
          <w:rFonts w:ascii="Times New Roman" w:eastAsia="Times New Roman" w:hAnsi="Times New Roman" w:cs="Times New Roman"/>
          <w:kern w:val="0"/>
          <w:sz w:val="24"/>
          <w:szCs w:val="24"/>
          <w14:ligatures w14:val="none"/>
        </w:rPr>
        <w:t>Based on the data insights, the county has outlined comprehensive interventions to</w:t>
      </w:r>
      <w:r w:rsidR="00F94E10">
        <w:rPr>
          <w:rFonts w:ascii="Times New Roman" w:eastAsia="Times New Roman" w:hAnsi="Times New Roman" w:cs="Times New Roman"/>
          <w:kern w:val="0"/>
          <w:sz w:val="24"/>
          <w:szCs w:val="24"/>
          <w14:ligatures w14:val="none"/>
        </w:rPr>
        <w:t xml:space="preserve"> each ward</w:t>
      </w:r>
      <w:r w:rsidRPr="00544787">
        <w:rPr>
          <w:rFonts w:ascii="Times New Roman" w:eastAsia="Times New Roman" w:hAnsi="Times New Roman" w:cs="Times New Roman"/>
          <w:kern w:val="0"/>
          <w:sz w:val="24"/>
          <w:szCs w:val="24"/>
          <w14:ligatures w14:val="none"/>
        </w:rPr>
        <w:t xml:space="preserve"> </w:t>
      </w:r>
      <w:r w:rsidR="00F94E10">
        <w:rPr>
          <w:rFonts w:ascii="Times New Roman" w:eastAsia="Times New Roman" w:hAnsi="Times New Roman" w:cs="Times New Roman"/>
          <w:kern w:val="0"/>
          <w:sz w:val="24"/>
          <w:szCs w:val="24"/>
          <w14:ligatures w14:val="none"/>
        </w:rPr>
        <w:t xml:space="preserve">to </w:t>
      </w:r>
      <w:r w:rsidRPr="00544787">
        <w:rPr>
          <w:rFonts w:ascii="Times New Roman" w:eastAsia="Times New Roman" w:hAnsi="Times New Roman" w:cs="Times New Roman"/>
          <w:kern w:val="0"/>
          <w:sz w:val="24"/>
          <w:szCs w:val="24"/>
          <w14:ligatures w14:val="none"/>
        </w:rPr>
        <w:t>improve health outcomes, including:</w:t>
      </w:r>
    </w:p>
    <w:p w14:paraId="46F51C95" w14:textId="77777777" w:rsidR="00544787" w:rsidRPr="00544787" w:rsidRDefault="00544787" w:rsidP="00544787">
      <w:pPr>
        <w:numPr>
          <w:ilvl w:val="0"/>
          <w:numId w:val="6"/>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544787">
        <w:rPr>
          <w:rFonts w:ascii="Times New Roman" w:eastAsia="Times New Roman" w:hAnsi="Times New Roman" w:cs="Times New Roman"/>
          <w:b/>
          <w:bCs/>
          <w:kern w:val="0"/>
          <w:sz w:val="24"/>
          <w:szCs w:val="24"/>
          <w14:ligatures w14:val="none"/>
        </w:rPr>
        <w:t>Infrastructure Development:</w:t>
      </w:r>
      <w:r w:rsidRPr="00544787">
        <w:rPr>
          <w:rFonts w:ascii="Times New Roman" w:eastAsia="Times New Roman" w:hAnsi="Times New Roman" w:cs="Times New Roman"/>
          <w:kern w:val="0"/>
          <w:sz w:val="24"/>
          <w:szCs w:val="24"/>
          <w14:ligatures w14:val="none"/>
        </w:rPr>
        <w:t xml:space="preserve"> Construction and renovation of dispensaries, outpatient departments (OPD), staff housing, and improved water and sanitation facilities to ensure quality service delivery.</w:t>
      </w:r>
    </w:p>
    <w:p w14:paraId="445654DF" w14:textId="77777777" w:rsidR="00544787" w:rsidRPr="00544787" w:rsidRDefault="00544787" w:rsidP="00544787">
      <w:pPr>
        <w:numPr>
          <w:ilvl w:val="0"/>
          <w:numId w:val="6"/>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544787">
        <w:rPr>
          <w:rFonts w:ascii="Times New Roman" w:eastAsia="Times New Roman" w:hAnsi="Times New Roman" w:cs="Times New Roman"/>
          <w:b/>
          <w:bCs/>
          <w:kern w:val="0"/>
          <w:sz w:val="24"/>
          <w:szCs w:val="24"/>
          <w14:ligatures w14:val="none"/>
        </w:rPr>
        <w:t>Healthcare Workforce Support:</w:t>
      </w:r>
      <w:r w:rsidRPr="00544787">
        <w:rPr>
          <w:rFonts w:ascii="Times New Roman" w:eastAsia="Times New Roman" w:hAnsi="Times New Roman" w:cs="Times New Roman"/>
          <w:kern w:val="0"/>
          <w:sz w:val="24"/>
          <w:szCs w:val="24"/>
          <w14:ligatures w14:val="none"/>
        </w:rPr>
        <w:t xml:space="preserve"> Recruitment of health interns, capacity-building programs, and performance-based incentives for Community Health Volunteers (CHVs) to strengthen service delivery at the grassroots level.</w:t>
      </w:r>
    </w:p>
    <w:p w14:paraId="3F02D98F" w14:textId="77777777" w:rsidR="00544787" w:rsidRPr="00544787" w:rsidRDefault="00544787" w:rsidP="00544787">
      <w:pPr>
        <w:numPr>
          <w:ilvl w:val="0"/>
          <w:numId w:val="6"/>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544787">
        <w:rPr>
          <w:rFonts w:ascii="Times New Roman" w:eastAsia="Times New Roman" w:hAnsi="Times New Roman" w:cs="Times New Roman"/>
          <w:b/>
          <w:bCs/>
          <w:kern w:val="0"/>
          <w:sz w:val="24"/>
          <w:szCs w:val="24"/>
          <w14:ligatures w14:val="none"/>
        </w:rPr>
        <w:t>Emergency and Referral Services:</w:t>
      </w:r>
      <w:r w:rsidRPr="00544787">
        <w:rPr>
          <w:rFonts w:ascii="Times New Roman" w:eastAsia="Times New Roman" w:hAnsi="Times New Roman" w:cs="Times New Roman"/>
          <w:kern w:val="0"/>
          <w:sz w:val="24"/>
          <w:szCs w:val="24"/>
          <w14:ligatures w14:val="none"/>
        </w:rPr>
        <w:t xml:space="preserve"> Procurement of ambulances, establishment of an Emergency Transfer Centre, and strengthening referral networks to improve response times and patient outcomes.</w:t>
      </w:r>
    </w:p>
    <w:p w14:paraId="6B612806" w14:textId="77777777" w:rsidR="00544787" w:rsidRPr="00544787" w:rsidRDefault="00544787" w:rsidP="00544787">
      <w:pPr>
        <w:numPr>
          <w:ilvl w:val="0"/>
          <w:numId w:val="6"/>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544787">
        <w:rPr>
          <w:rFonts w:ascii="Times New Roman" w:eastAsia="Times New Roman" w:hAnsi="Times New Roman" w:cs="Times New Roman"/>
          <w:b/>
          <w:bCs/>
          <w:kern w:val="0"/>
          <w:sz w:val="24"/>
          <w:szCs w:val="24"/>
          <w14:ligatures w14:val="none"/>
        </w:rPr>
        <w:t>Public Health Interventions:</w:t>
      </w:r>
      <w:r w:rsidRPr="00544787">
        <w:rPr>
          <w:rFonts w:ascii="Times New Roman" w:eastAsia="Times New Roman" w:hAnsi="Times New Roman" w:cs="Times New Roman"/>
          <w:kern w:val="0"/>
          <w:sz w:val="24"/>
          <w:szCs w:val="24"/>
          <w14:ligatures w14:val="none"/>
        </w:rPr>
        <w:t xml:space="preserve"> Investments in nutrition programs, reproductive health outreaches, maternal and child health services, and health promotion initiatives.</w:t>
      </w:r>
    </w:p>
    <w:p w14:paraId="09496FA9" w14:textId="77777777" w:rsidR="00544787" w:rsidRPr="00544787" w:rsidRDefault="00544787" w:rsidP="00544787">
      <w:pPr>
        <w:numPr>
          <w:ilvl w:val="0"/>
          <w:numId w:val="6"/>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544787">
        <w:rPr>
          <w:rFonts w:ascii="Times New Roman" w:eastAsia="Times New Roman" w:hAnsi="Times New Roman" w:cs="Times New Roman"/>
          <w:b/>
          <w:bCs/>
          <w:kern w:val="0"/>
          <w:sz w:val="24"/>
          <w:szCs w:val="24"/>
          <w14:ligatures w14:val="none"/>
        </w:rPr>
        <w:t>Health Information Systems:</w:t>
      </w:r>
      <w:r w:rsidRPr="00544787">
        <w:rPr>
          <w:rFonts w:ascii="Times New Roman" w:eastAsia="Times New Roman" w:hAnsi="Times New Roman" w:cs="Times New Roman"/>
          <w:kern w:val="0"/>
          <w:sz w:val="24"/>
          <w:szCs w:val="24"/>
          <w14:ligatures w14:val="none"/>
        </w:rPr>
        <w:t xml:space="preserve"> Automation of health facilities to enhance service delivery, data management, and evidence-based planning.</w:t>
      </w:r>
    </w:p>
    <w:p w14:paraId="614D5513" w14:textId="77777777" w:rsidR="00544787" w:rsidRPr="00544787" w:rsidRDefault="00544787" w:rsidP="00544787">
      <w:pPr>
        <w:numPr>
          <w:ilvl w:val="0"/>
          <w:numId w:val="6"/>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544787">
        <w:rPr>
          <w:rFonts w:ascii="Times New Roman" w:eastAsia="Times New Roman" w:hAnsi="Times New Roman" w:cs="Times New Roman"/>
          <w:b/>
          <w:bCs/>
          <w:kern w:val="0"/>
          <w:sz w:val="24"/>
          <w:szCs w:val="24"/>
          <w14:ligatures w14:val="none"/>
        </w:rPr>
        <w:t>Community Engagement:</w:t>
      </w:r>
      <w:r w:rsidRPr="00544787">
        <w:rPr>
          <w:rFonts w:ascii="Times New Roman" w:eastAsia="Times New Roman" w:hAnsi="Times New Roman" w:cs="Times New Roman"/>
          <w:kern w:val="0"/>
          <w:sz w:val="24"/>
          <w:szCs w:val="24"/>
          <w14:ligatures w14:val="none"/>
        </w:rPr>
        <w:t xml:space="preserve"> Strengthening partnerships with local communities and stakeholders to ensure inclusive health planning and accountability.</w:t>
      </w:r>
    </w:p>
    <w:p w14:paraId="6EC599F5" w14:textId="6A1F7279" w:rsidR="00544787" w:rsidRPr="00544787" w:rsidRDefault="00544787" w:rsidP="005447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44787">
        <w:rPr>
          <w:rFonts w:ascii="Times New Roman" w:eastAsia="Times New Roman" w:hAnsi="Times New Roman" w:cs="Times New Roman"/>
          <w:b/>
          <w:bCs/>
          <w:kern w:val="0"/>
          <w:sz w:val="24"/>
          <w:szCs w:val="24"/>
          <w14:ligatures w14:val="none"/>
        </w:rPr>
        <w:t>Call to Action: Participate and Shape Our Health</w:t>
      </w:r>
      <w:r w:rsidR="00F94E10">
        <w:rPr>
          <w:rFonts w:ascii="Times New Roman" w:eastAsia="Times New Roman" w:hAnsi="Times New Roman" w:cs="Times New Roman"/>
          <w:b/>
          <w:bCs/>
          <w:kern w:val="0"/>
          <w:sz w:val="24"/>
          <w:szCs w:val="24"/>
          <w14:ligatures w14:val="none"/>
        </w:rPr>
        <w:t xml:space="preserve">y </w:t>
      </w:r>
      <w:r w:rsidRPr="00544787">
        <w:rPr>
          <w:rFonts w:ascii="Times New Roman" w:eastAsia="Times New Roman" w:hAnsi="Times New Roman" w:cs="Times New Roman"/>
          <w:b/>
          <w:bCs/>
          <w:kern w:val="0"/>
          <w:sz w:val="24"/>
          <w:szCs w:val="24"/>
          <w14:ligatures w14:val="none"/>
        </w:rPr>
        <w:t>Future</w:t>
      </w:r>
    </w:p>
    <w:p w14:paraId="2DB046F6" w14:textId="77777777" w:rsidR="00544787" w:rsidRPr="00544787" w:rsidRDefault="00544787" w:rsidP="00544787">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544787">
        <w:rPr>
          <w:rFonts w:ascii="Times New Roman" w:eastAsia="Times New Roman" w:hAnsi="Times New Roman" w:cs="Times New Roman"/>
          <w:kern w:val="0"/>
          <w:sz w:val="24"/>
          <w:szCs w:val="24"/>
          <w14:ligatures w14:val="none"/>
        </w:rPr>
        <w:lastRenderedPageBreak/>
        <w:t>Residents of Elgeyo Marakwet are encouraged to actively participate in the upcoming ward public participation forums to discuss these findings and provide feedback. Your input will play a crucial role in shaping the county's healthcare priorities for the next five years.</w:t>
      </w:r>
    </w:p>
    <w:p w14:paraId="5E9F280D" w14:textId="77777777" w:rsidR="00544787" w:rsidRPr="00544787" w:rsidRDefault="00544787" w:rsidP="00544787">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544787">
        <w:rPr>
          <w:rFonts w:ascii="Times New Roman" w:eastAsia="Times New Roman" w:hAnsi="Times New Roman" w:cs="Times New Roman"/>
          <w:kern w:val="0"/>
          <w:sz w:val="24"/>
          <w:szCs w:val="24"/>
          <w14:ligatures w14:val="none"/>
        </w:rPr>
        <w:t>Stay informed and engaged as we work together to build a healthier Elgeyo Marakwet County.</w:t>
      </w:r>
    </w:p>
    <w:p w14:paraId="1AD06F04" w14:textId="77777777" w:rsidR="00544787" w:rsidRPr="00544787" w:rsidRDefault="00544787" w:rsidP="005447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44787">
        <w:rPr>
          <w:rFonts w:ascii="Times New Roman" w:eastAsia="Times New Roman" w:hAnsi="Times New Roman" w:cs="Times New Roman"/>
          <w:b/>
          <w:bCs/>
          <w:kern w:val="0"/>
          <w:sz w:val="24"/>
          <w:szCs w:val="24"/>
          <w14:ligatures w14:val="none"/>
        </w:rPr>
        <w:t>For more information, visit our official website or contact your local health facility.</w:t>
      </w:r>
    </w:p>
    <w:p w14:paraId="58D033DE" w14:textId="6E0C48CC" w:rsidR="003B50C6" w:rsidRDefault="00452C6C" w:rsidP="00544787">
      <w:hyperlink r:id="rId7" w:history="1">
        <w:r w:rsidRPr="00DC1D68">
          <w:rPr>
            <w:rStyle w:val="Hyperlink"/>
          </w:rPr>
          <w:t>https://elgeyomarakwet.go.ke/publications/</w:t>
        </w:r>
      </w:hyperlink>
    </w:p>
    <w:p w14:paraId="2EDE3D28" w14:textId="77777777" w:rsidR="00452C6C" w:rsidRDefault="00452C6C" w:rsidP="00544787"/>
    <w:p w14:paraId="217F6B28" w14:textId="6E6DE5BA" w:rsidR="00452C6C" w:rsidRDefault="00BC241F" w:rsidP="00BC241F">
      <w:r w:rsidRPr="00BC241F">
        <w:t xml:space="preserve">Participation link is </w:t>
      </w:r>
      <w:hyperlink r:id="rId8" w:history="1">
        <w:r w:rsidRPr="00AB20E4">
          <w:rPr>
            <w:rStyle w:val="Hyperlink"/>
          </w:rPr>
          <w:t>https://echo.zoom.us/j/82183094177</w:t>
        </w:r>
      </w:hyperlink>
      <w:r w:rsidRPr="00BC241F">
        <w:t>.</w:t>
      </w:r>
    </w:p>
    <w:p w14:paraId="33919FD0" w14:textId="77777777" w:rsidR="00BC241F" w:rsidRPr="00452C6C" w:rsidRDefault="00BC241F" w:rsidP="00BC241F"/>
    <w:sectPr w:rsidR="00BC241F" w:rsidRPr="00452C6C">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66BAE"/>
    <w:multiLevelType w:val="multilevel"/>
    <w:tmpl w:val="70981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DB292F"/>
    <w:multiLevelType w:val="multilevel"/>
    <w:tmpl w:val="6352B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1A71A1"/>
    <w:multiLevelType w:val="multilevel"/>
    <w:tmpl w:val="0D5E4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0B4B0C"/>
    <w:multiLevelType w:val="multilevel"/>
    <w:tmpl w:val="7ACC6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694ED1"/>
    <w:multiLevelType w:val="multilevel"/>
    <w:tmpl w:val="F7B6A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AD0193"/>
    <w:multiLevelType w:val="multilevel"/>
    <w:tmpl w:val="39804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4356648">
    <w:abstractNumId w:val="3"/>
  </w:num>
  <w:num w:numId="2" w16cid:durableId="1629818057">
    <w:abstractNumId w:val="0"/>
  </w:num>
  <w:num w:numId="3" w16cid:durableId="1123420714">
    <w:abstractNumId w:val="2"/>
  </w:num>
  <w:num w:numId="4" w16cid:durableId="2063433047">
    <w:abstractNumId w:val="4"/>
  </w:num>
  <w:num w:numId="5" w16cid:durableId="725450697">
    <w:abstractNumId w:val="5"/>
  </w:num>
  <w:num w:numId="6" w16cid:durableId="15530389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787"/>
    <w:rsid w:val="003B50C6"/>
    <w:rsid w:val="00452C6C"/>
    <w:rsid w:val="00544787"/>
    <w:rsid w:val="00585801"/>
    <w:rsid w:val="005F1743"/>
    <w:rsid w:val="0089353E"/>
    <w:rsid w:val="00BC241F"/>
    <w:rsid w:val="00DE0EF7"/>
    <w:rsid w:val="00EB39F2"/>
    <w:rsid w:val="00F94E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02C3C"/>
  <w15:chartTrackingRefBased/>
  <w15:docId w15:val="{6DC5CE19-E20E-4C10-8D29-BFD4071B8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4478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544787"/>
    <w:rPr>
      <w:b/>
      <w:bCs/>
    </w:rPr>
  </w:style>
  <w:style w:type="character" w:styleId="Hyperlink">
    <w:name w:val="Hyperlink"/>
    <w:basedOn w:val="DefaultParagraphFont"/>
    <w:uiPriority w:val="99"/>
    <w:unhideWhenUsed/>
    <w:rsid w:val="00452C6C"/>
    <w:rPr>
      <w:color w:val="0563C1" w:themeColor="hyperlink"/>
      <w:u w:val="single"/>
    </w:rPr>
  </w:style>
  <w:style w:type="character" w:styleId="UnresolvedMention">
    <w:name w:val="Unresolved Mention"/>
    <w:basedOn w:val="DefaultParagraphFont"/>
    <w:uiPriority w:val="99"/>
    <w:semiHidden/>
    <w:unhideWhenUsed/>
    <w:rsid w:val="00452C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587752">
      <w:bodyDiv w:val="1"/>
      <w:marLeft w:val="0"/>
      <w:marRight w:val="0"/>
      <w:marTop w:val="0"/>
      <w:marBottom w:val="0"/>
      <w:divBdr>
        <w:top w:val="none" w:sz="0" w:space="0" w:color="auto"/>
        <w:left w:val="none" w:sz="0" w:space="0" w:color="auto"/>
        <w:bottom w:val="none" w:sz="0" w:space="0" w:color="auto"/>
        <w:right w:val="none" w:sz="0" w:space="0" w:color="auto"/>
      </w:divBdr>
    </w:div>
    <w:div w:id="1811749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ho.zoom.us/j/82183094177" TargetMode="External"/><Relationship Id="rId3" Type="http://schemas.openxmlformats.org/officeDocument/2006/relationships/settings" Target="settings.xml"/><Relationship Id="rId7" Type="http://schemas.openxmlformats.org/officeDocument/2006/relationships/hyperlink" Target="https://elgeyomarakwet.go.ke/publicat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untysecretary@elgeyomarakwet.go.ke"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833</Words>
  <Characters>4752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dc:creator>
  <cp:keywords/>
  <dc:description/>
  <cp:lastModifiedBy>USER-PC</cp:lastModifiedBy>
  <cp:revision>4</cp:revision>
  <dcterms:created xsi:type="dcterms:W3CDTF">2025-01-23T07:22:00Z</dcterms:created>
  <dcterms:modified xsi:type="dcterms:W3CDTF">2025-02-14T12:27:00Z</dcterms:modified>
</cp:coreProperties>
</file>